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85300" w:type="dxa"/>
        <w:gridCol w:w="2850" w:type="dxa"/>
        <w:gridCol w:w="86200" w:type="dxa"/>
      </w:tblGrid>
      <w:tblPr>
        <w:tblW w:w="301450" w:type="pct"/>
        <w:tblLayout w:type="autofit"/>
        <w:bidiVisual w:val="0"/>
      </w:tblPr>
      <w:tr>
        <w:trPr>
          <w:tblHeader w:val="1"/>
        </w:trPr>
        <w:tc>
          <w:tcPr>
            <w:tcW w:w="385300" w:type="pct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2850" w:type="pct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86200" w:type="pct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3853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850" w:type="pct"/>
            <w:vAlign w:val="center"/>
          </w:tcPr>
          <w:p>
            <w:pPr>
              <w:jc w:val="center"/>
            </w:pPr>
            <w:r>
              <w:rPr/>
              <w:t xml:space="preserve">Retribucións i indemnitzacions dels càrrecs electes</w:t>
            </w:r>
          </w:p>
        </w:tc>
        <w:tc>
          <w:tcPr>
            <w:tcW w:w="86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2026-06-06T19:49:29+00:00</dcterms:created>
  <dcterms:modified xsi:type="dcterms:W3CDTF">2026-06-06T19:49:29+00:00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